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5604B2AD" w:rsidR="008460D9" w:rsidRPr="008460D9" w:rsidRDefault="008076FD"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Wednesday </w:t>
      </w:r>
      <w:r w:rsidR="00E91286">
        <w:rPr>
          <w:rFonts w:asciiTheme="minorHAnsi" w:eastAsiaTheme="minorHAnsi" w:hAnsiTheme="minorHAnsi" w:cstheme="minorBidi"/>
          <w:b/>
          <w:sz w:val="28"/>
          <w:szCs w:val="28"/>
          <w:lang w:eastAsia="en-US"/>
        </w:rPr>
        <w:t>17</w:t>
      </w:r>
      <w:r w:rsidR="00171FF8">
        <w:rPr>
          <w:rFonts w:asciiTheme="minorHAnsi" w:eastAsiaTheme="minorHAnsi" w:hAnsiTheme="minorHAnsi" w:cstheme="minorBidi"/>
          <w:b/>
          <w:sz w:val="28"/>
          <w:szCs w:val="28"/>
          <w:lang w:eastAsia="en-US"/>
        </w:rPr>
        <w:t xml:space="preserve"> </w:t>
      </w:r>
      <w:r w:rsidR="00A1095E">
        <w:rPr>
          <w:rFonts w:asciiTheme="minorHAnsi" w:eastAsiaTheme="minorHAnsi" w:hAnsiTheme="minorHAnsi" w:cstheme="minorBidi"/>
          <w:b/>
          <w:sz w:val="28"/>
          <w:szCs w:val="28"/>
          <w:lang w:eastAsia="en-US"/>
        </w:rPr>
        <w:t xml:space="preserve">January </w:t>
      </w:r>
      <w:r w:rsidR="00CC5DF9">
        <w:rPr>
          <w:rFonts w:asciiTheme="minorHAnsi" w:eastAsiaTheme="minorHAnsi" w:hAnsiTheme="minorHAnsi" w:cstheme="minorBidi"/>
          <w:b/>
          <w:sz w:val="28"/>
          <w:szCs w:val="28"/>
          <w:lang w:eastAsia="en-US"/>
        </w:rPr>
        <w:t>202</w:t>
      </w:r>
      <w:r w:rsidR="00E91286">
        <w:rPr>
          <w:rFonts w:asciiTheme="minorHAnsi" w:eastAsiaTheme="minorHAnsi" w:hAnsiTheme="minorHAnsi" w:cstheme="minorBidi"/>
          <w:b/>
          <w:sz w:val="28"/>
          <w:szCs w:val="28"/>
          <w:lang w:eastAsia="en-US"/>
        </w:rPr>
        <w:t>4</w:t>
      </w:r>
    </w:p>
    <w:p w14:paraId="69C4165F" w14:textId="6EA43017" w:rsidR="008460D9" w:rsidRPr="008460D9" w:rsidRDefault="00762E20"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2</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2953BE97" w:rsidR="00125C2B" w:rsidRPr="0065709A" w:rsidRDefault="00125C2B" w:rsidP="0088122D">
      <w:pPr>
        <w:tabs>
          <w:tab w:val="left" w:pos="7070"/>
        </w:tabs>
        <w:spacing w:after="0"/>
        <w:rPr>
          <w:rFonts w:asciiTheme="minorHAnsi" w:hAnsiTheme="minorHAnsi" w:cstheme="minorHAnsi"/>
          <w:b/>
          <w:sz w:val="22"/>
          <w:szCs w:val="22"/>
        </w:rPr>
      </w:pPr>
      <w:r w:rsidRPr="0065709A">
        <w:rPr>
          <w:rFonts w:asciiTheme="minorHAnsi" w:hAnsiTheme="minorHAnsi" w:cstheme="minorHAnsi"/>
          <w:b/>
          <w:sz w:val="22"/>
          <w:szCs w:val="22"/>
        </w:rPr>
        <w:t>Patient Group members:</w:t>
      </w:r>
      <w:r w:rsidR="00A1095E">
        <w:rPr>
          <w:rFonts w:asciiTheme="minorHAnsi" w:hAnsiTheme="minorHAnsi" w:cstheme="minorHAnsi"/>
          <w:b/>
          <w:sz w:val="22"/>
          <w:szCs w:val="22"/>
        </w:rPr>
        <w:t xml:space="preserve"> London Road Surgery and Robert Frew Medical Centre Patient Groups</w:t>
      </w:r>
    </w:p>
    <w:p w14:paraId="29205A62" w14:textId="59382F73" w:rsidR="00674571" w:rsidRDefault="00674571" w:rsidP="0088122D">
      <w:pPr>
        <w:tabs>
          <w:tab w:val="left" w:pos="7070"/>
        </w:tabs>
        <w:spacing w:after="0"/>
        <w:rPr>
          <w:rFonts w:asciiTheme="minorHAnsi" w:hAnsiTheme="minorHAnsi" w:cstheme="minorHAnsi"/>
          <w:sz w:val="22"/>
          <w:szCs w:val="22"/>
        </w:rPr>
      </w:pPr>
    </w:p>
    <w:p w14:paraId="71FB9D86" w14:textId="0EDE611F" w:rsidR="00560051" w:rsidRPr="000238E7" w:rsidRDefault="00386926" w:rsidP="00386926">
      <w:pPr>
        <w:spacing w:after="0"/>
        <w:rPr>
          <w:rFonts w:asciiTheme="minorHAnsi" w:hAnsiTheme="minorHAnsi" w:cstheme="minorHAnsi"/>
          <w:sz w:val="22"/>
          <w:szCs w:val="22"/>
        </w:rPr>
      </w:pPr>
      <w:r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150FC038" w14:textId="77777777" w:rsidR="009576CC"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p>
    <w:p w14:paraId="5CD7071A" w14:textId="6EDCEA52" w:rsidR="00005964" w:rsidRPr="000238E7" w:rsidRDefault="009576CC" w:rsidP="0008112E">
      <w:pPr>
        <w:spacing w:after="0"/>
        <w:rPr>
          <w:rFonts w:asciiTheme="minorHAnsi" w:hAnsiTheme="minorHAnsi" w:cstheme="minorHAnsi"/>
          <w:sz w:val="22"/>
          <w:szCs w:val="22"/>
        </w:rPr>
      </w:pPr>
      <w:r>
        <w:rPr>
          <w:rFonts w:asciiTheme="minorHAnsi" w:hAnsiTheme="minorHAnsi" w:cstheme="minorHAnsi"/>
          <w:sz w:val="22"/>
          <w:szCs w:val="22"/>
        </w:rPr>
        <w:t>Attachments to the Agenda: Self-Referral Services</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ayout w:type="fixed"/>
        <w:tblLook w:val="04A0" w:firstRow="1" w:lastRow="0" w:firstColumn="1" w:lastColumn="0" w:noHBand="0" w:noVBand="1"/>
      </w:tblPr>
      <w:tblGrid>
        <w:gridCol w:w="280"/>
        <w:gridCol w:w="8318"/>
        <w:gridCol w:w="418"/>
      </w:tblGrid>
      <w:tr w:rsidR="005031BF" w:rsidRPr="000238E7" w14:paraId="0941FB0C" w14:textId="77777777" w:rsidTr="00043968">
        <w:trPr>
          <w:trHeight w:val="153"/>
        </w:trPr>
        <w:tc>
          <w:tcPr>
            <w:tcW w:w="155"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613"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232"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43968">
        <w:trPr>
          <w:trHeight w:val="153"/>
        </w:trPr>
        <w:tc>
          <w:tcPr>
            <w:tcW w:w="155" w:type="pct"/>
          </w:tcPr>
          <w:p w14:paraId="4348A758" w14:textId="77777777" w:rsidR="005031BF" w:rsidRPr="000238E7" w:rsidRDefault="005031BF" w:rsidP="00DB16ED">
            <w:pPr>
              <w:rPr>
                <w:rFonts w:asciiTheme="minorHAnsi" w:hAnsiTheme="minorHAnsi" w:cstheme="minorHAnsi"/>
                <w:sz w:val="22"/>
                <w:szCs w:val="22"/>
              </w:rPr>
            </w:pPr>
          </w:p>
        </w:tc>
        <w:tc>
          <w:tcPr>
            <w:tcW w:w="4613" w:type="pct"/>
          </w:tcPr>
          <w:p w14:paraId="2C16498B" w14:textId="77777777" w:rsidR="00B30CF8" w:rsidRDefault="00746F38" w:rsidP="005A2AFA">
            <w:pPr>
              <w:spacing w:before="120" w:after="120"/>
              <w:rPr>
                <w:rFonts w:asciiTheme="minorHAnsi" w:hAnsiTheme="minorHAnsi" w:cstheme="minorHAnsi"/>
                <w:sz w:val="22"/>
                <w:szCs w:val="22"/>
              </w:rPr>
            </w:pPr>
            <w:r>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r w:rsidR="00B30CF8">
              <w:rPr>
                <w:rFonts w:asciiTheme="minorHAnsi" w:hAnsiTheme="minorHAnsi" w:cstheme="minorHAnsi"/>
                <w:sz w:val="22"/>
                <w:szCs w:val="22"/>
              </w:rPr>
              <w:t>.</w:t>
            </w:r>
          </w:p>
          <w:p w14:paraId="5548A658" w14:textId="0065EDAB" w:rsidR="00B30CF8" w:rsidRPr="000238E7" w:rsidRDefault="00B30CF8" w:rsidP="005A2AFA">
            <w:pPr>
              <w:spacing w:before="120" w:after="120"/>
              <w:rPr>
                <w:rFonts w:asciiTheme="minorHAnsi" w:hAnsiTheme="minorHAnsi" w:cstheme="minorHAnsi"/>
                <w:sz w:val="22"/>
                <w:szCs w:val="22"/>
              </w:rPr>
            </w:pPr>
            <w:r>
              <w:rPr>
                <w:rFonts w:asciiTheme="minorHAnsi" w:hAnsiTheme="minorHAnsi" w:cstheme="minorHAnsi"/>
                <w:sz w:val="22"/>
                <w:szCs w:val="22"/>
              </w:rPr>
              <w:t>PCN Patient Group Meeting on 25.1.24</w:t>
            </w:r>
          </w:p>
        </w:tc>
        <w:tc>
          <w:tcPr>
            <w:tcW w:w="232"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762E20" w:rsidRPr="000238E7" w14:paraId="658E0A1E" w14:textId="77777777" w:rsidTr="00043968">
        <w:trPr>
          <w:trHeight w:val="153"/>
        </w:trPr>
        <w:tc>
          <w:tcPr>
            <w:tcW w:w="155" w:type="pct"/>
          </w:tcPr>
          <w:p w14:paraId="7E53EB6B" w14:textId="7144B299" w:rsidR="00762E20"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1</w:t>
            </w:r>
          </w:p>
        </w:tc>
        <w:tc>
          <w:tcPr>
            <w:tcW w:w="4613" w:type="pct"/>
          </w:tcPr>
          <w:p w14:paraId="747B7376" w14:textId="26B6A004" w:rsidR="00762E20" w:rsidRPr="000238E7" w:rsidRDefault="008076FD" w:rsidP="005A2AFA">
            <w:pPr>
              <w:spacing w:before="120" w:after="120"/>
              <w:rPr>
                <w:rFonts w:asciiTheme="minorHAnsi" w:hAnsiTheme="minorHAnsi" w:cstheme="minorHAnsi"/>
                <w:sz w:val="22"/>
                <w:szCs w:val="22"/>
              </w:rPr>
            </w:pPr>
            <w:r>
              <w:rPr>
                <w:rFonts w:asciiTheme="minorHAnsi" w:hAnsiTheme="minorHAnsi" w:cstheme="minorHAnsi"/>
                <w:b/>
                <w:sz w:val="22"/>
                <w:szCs w:val="22"/>
              </w:rPr>
              <w:t>Minutes of the last meetin</w:t>
            </w:r>
            <w:r w:rsidR="00E91286">
              <w:rPr>
                <w:rFonts w:asciiTheme="minorHAnsi" w:hAnsiTheme="minorHAnsi" w:cstheme="minorHAnsi"/>
                <w:b/>
                <w:sz w:val="22"/>
                <w:szCs w:val="22"/>
              </w:rPr>
              <w:t>g</w:t>
            </w:r>
          </w:p>
        </w:tc>
        <w:tc>
          <w:tcPr>
            <w:tcW w:w="232" w:type="pct"/>
          </w:tcPr>
          <w:p w14:paraId="3F095EFE" w14:textId="77777777" w:rsidR="00762E20" w:rsidRPr="000238E7" w:rsidRDefault="00762E20" w:rsidP="005E56C4">
            <w:pPr>
              <w:spacing w:before="120" w:after="120"/>
              <w:rPr>
                <w:rFonts w:asciiTheme="minorHAnsi" w:hAnsiTheme="minorHAnsi" w:cstheme="minorHAnsi"/>
                <w:sz w:val="22"/>
                <w:szCs w:val="22"/>
              </w:rPr>
            </w:pPr>
          </w:p>
        </w:tc>
      </w:tr>
      <w:tr w:rsidR="008076FD" w:rsidRPr="000238E7" w14:paraId="7D1EE2B3" w14:textId="77777777" w:rsidTr="00043968">
        <w:trPr>
          <w:trHeight w:val="153"/>
        </w:trPr>
        <w:tc>
          <w:tcPr>
            <w:tcW w:w="155" w:type="pct"/>
          </w:tcPr>
          <w:p w14:paraId="69938280" w14:textId="77777777" w:rsidR="008076FD" w:rsidRDefault="008076FD" w:rsidP="00DB16ED">
            <w:pPr>
              <w:rPr>
                <w:rFonts w:asciiTheme="minorHAnsi" w:hAnsiTheme="minorHAnsi" w:cstheme="minorHAnsi"/>
                <w:sz w:val="22"/>
                <w:szCs w:val="22"/>
              </w:rPr>
            </w:pPr>
          </w:p>
        </w:tc>
        <w:tc>
          <w:tcPr>
            <w:tcW w:w="4613" w:type="pct"/>
          </w:tcPr>
          <w:p w14:paraId="72EDB1C0" w14:textId="77777777" w:rsidR="008076FD" w:rsidRDefault="00E91286" w:rsidP="005A2AFA">
            <w:pPr>
              <w:spacing w:before="120" w:after="120"/>
              <w:rPr>
                <w:rFonts w:asciiTheme="minorHAnsi" w:hAnsiTheme="minorHAnsi" w:cstheme="minorHAnsi"/>
                <w:bCs/>
                <w:sz w:val="22"/>
                <w:szCs w:val="22"/>
              </w:rPr>
            </w:pPr>
            <w:r w:rsidRPr="00E91286">
              <w:rPr>
                <w:rFonts w:asciiTheme="minorHAnsi" w:hAnsiTheme="minorHAnsi" w:cstheme="minorHAnsi"/>
                <w:bCs/>
                <w:sz w:val="22"/>
                <w:szCs w:val="22"/>
              </w:rPr>
              <w:t xml:space="preserve">No minutes of the </w:t>
            </w:r>
            <w:r>
              <w:rPr>
                <w:rFonts w:asciiTheme="minorHAnsi" w:hAnsiTheme="minorHAnsi" w:cstheme="minorHAnsi"/>
                <w:bCs/>
                <w:sz w:val="22"/>
                <w:szCs w:val="22"/>
              </w:rPr>
              <w:t xml:space="preserve">last </w:t>
            </w:r>
            <w:r w:rsidRPr="00E91286">
              <w:rPr>
                <w:rFonts w:asciiTheme="minorHAnsi" w:hAnsiTheme="minorHAnsi" w:cstheme="minorHAnsi"/>
                <w:bCs/>
                <w:sz w:val="22"/>
                <w:szCs w:val="22"/>
              </w:rPr>
              <w:t>meeting</w:t>
            </w:r>
            <w:r>
              <w:rPr>
                <w:rFonts w:asciiTheme="minorHAnsi" w:hAnsiTheme="minorHAnsi" w:cstheme="minorHAnsi"/>
                <w:bCs/>
                <w:sz w:val="22"/>
                <w:szCs w:val="22"/>
              </w:rPr>
              <w:t>.</w:t>
            </w:r>
          </w:p>
          <w:p w14:paraId="5B026B19" w14:textId="044466D5" w:rsidR="00E91286" w:rsidRPr="00E91286" w:rsidRDefault="00E91286" w:rsidP="005A2AFA">
            <w:pPr>
              <w:spacing w:before="120" w:after="120"/>
              <w:rPr>
                <w:rFonts w:asciiTheme="minorHAnsi" w:hAnsiTheme="minorHAnsi" w:cstheme="minorHAnsi"/>
                <w:bCs/>
                <w:sz w:val="22"/>
                <w:szCs w:val="22"/>
              </w:rPr>
            </w:pPr>
            <w:r>
              <w:rPr>
                <w:rFonts w:asciiTheme="minorHAnsi" w:hAnsiTheme="minorHAnsi" w:cstheme="minorHAnsi"/>
                <w:bCs/>
                <w:sz w:val="22"/>
                <w:szCs w:val="22"/>
              </w:rPr>
              <w:t>Meetings in 2023 were adjoined to the Carers Focus Group for Wickford practices and worked closely with Action for Family Carers.</w:t>
            </w:r>
          </w:p>
        </w:tc>
        <w:tc>
          <w:tcPr>
            <w:tcW w:w="232" w:type="pct"/>
          </w:tcPr>
          <w:p w14:paraId="06D38EEE" w14:textId="77777777" w:rsidR="008076FD" w:rsidRPr="000238E7" w:rsidRDefault="008076FD" w:rsidP="005E56C4">
            <w:pPr>
              <w:spacing w:before="120" w:after="120"/>
              <w:rPr>
                <w:rFonts w:asciiTheme="minorHAnsi" w:hAnsiTheme="minorHAnsi" w:cstheme="minorHAnsi"/>
                <w:sz w:val="22"/>
                <w:szCs w:val="22"/>
              </w:rPr>
            </w:pPr>
          </w:p>
        </w:tc>
      </w:tr>
      <w:tr w:rsidR="001D5BEE" w:rsidRPr="000238E7" w14:paraId="247B0D77" w14:textId="77777777" w:rsidTr="00043968">
        <w:trPr>
          <w:trHeight w:val="153"/>
        </w:trPr>
        <w:tc>
          <w:tcPr>
            <w:tcW w:w="155" w:type="pct"/>
          </w:tcPr>
          <w:p w14:paraId="3A5F45D7" w14:textId="73849516" w:rsidR="001D5BEE"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2</w:t>
            </w:r>
          </w:p>
        </w:tc>
        <w:tc>
          <w:tcPr>
            <w:tcW w:w="4613" w:type="pct"/>
          </w:tcPr>
          <w:p w14:paraId="4F41CB37" w14:textId="77777777" w:rsidR="00E91286" w:rsidRPr="00E91286" w:rsidRDefault="00E91286" w:rsidP="00E91286">
            <w:pPr>
              <w:spacing w:before="240" w:after="240"/>
              <w:rPr>
                <w:rFonts w:asciiTheme="minorHAnsi" w:eastAsiaTheme="minorHAnsi" w:hAnsiTheme="minorHAnsi" w:cstheme="minorBidi"/>
                <w:sz w:val="22"/>
                <w:szCs w:val="22"/>
                <w:lang w:eastAsia="en-US"/>
              </w:rPr>
            </w:pPr>
            <w:r w:rsidRPr="00E91286">
              <w:rPr>
                <w:rFonts w:asciiTheme="minorHAnsi" w:eastAsiaTheme="minorHAnsi" w:hAnsiTheme="minorHAnsi" w:cstheme="minorBidi"/>
                <w:sz w:val="22"/>
                <w:szCs w:val="22"/>
                <w:lang w:eastAsia="en-US"/>
              </w:rPr>
              <w:t>Role of the Patient Group</w:t>
            </w:r>
          </w:p>
          <w:p w14:paraId="7407190D" w14:textId="2A1DDE2A" w:rsidR="003B10F4" w:rsidRPr="0065709A" w:rsidRDefault="00E91286" w:rsidP="00E91286">
            <w:pPr>
              <w:spacing w:before="100" w:beforeAutospacing="1" w:after="100" w:afterAutospacing="1"/>
              <w:rPr>
                <w:rFonts w:asciiTheme="minorHAnsi" w:hAnsiTheme="minorHAnsi" w:cstheme="minorHAnsi"/>
                <w:bCs/>
                <w:sz w:val="22"/>
                <w:szCs w:val="22"/>
              </w:rPr>
            </w:pPr>
            <w:r w:rsidRPr="00E91286">
              <w:rPr>
                <w:rFonts w:asciiTheme="minorHAnsi" w:eastAsiaTheme="minorHAnsi" w:hAnsiTheme="minorHAnsi" w:cstheme="minorBidi"/>
                <w:sz w:val="22"/>
                <w:szCs w:val="22"/>
                <w:lang w:eastAsia="en-US"/>
              </w:rPr>
              <w:t>Update - Drop-in session Alzheimer’s Society 15.12.23</w:t>
            </w:r>
          </w:p>
        </w:tc>
        <w:tc>
          <w:tcPr>
            <w:tcW w:w="232" w:type="pct"/>
          </w:tcPr>
          <w:p w14:paraId="4F5900A8" w14:textId="77777777" w:rsidR="001D5BEE" w:rsidRPr="000238E7" w:rsidRDefault="001D5BEE" w:rsidP="005E56C4">
            <w:pPr>
              <w:spacing w:before="120" w:after="120"/>
              <w:rPr>
                <w:rFonts w:asciiTheme="minorHAnsi" w:hAnsiTheme="minorHAnsi" w:cstheme="minorHAnsi"/>
                <w:sz w:val="22"/>
                <w:szCs w:val="22"/>
              </w:rPr>
            </w:pPr>
          </w:p>
        </w:tc>
      </w:tr>
      <w:tr w:rsidR="00171F28" w:rsidRPr="000238E7" w14:paraId="4D43D4EA" w14:textId="77777777" w:rsidTr="00043968">
        <w:trPr>
          <w:trHeight w:val="153"/>
        </w:trPr>
        <w:tc>
          <w:tcPr>
            <w:tcW w:w="155" w:type="pct"/>
          </w:tcPr>
          <w:p w14:paraId="6D985FDB" w14:textId="77777777" w:rsidR="00171F28" w:rsidRDefault="00171F28" w:rsidP="00DB16ED">
            <w:pPr>
              <w:rPr>
                <w:rFonts w:asciiTheme="minorHAnsi" w:hAnsiTheme="minorHAnsi" w:cstheme="minorHAnsi"/>
                <w:sz w:val="22"/>
                <w:szCs w:val="22"/>
              </w:rPr>
            </w:pPr>
          </w:p>
        </w:tc>
        <w:tc>
          <w:tcPr>
            <w:tcW w:w="4613" w:type="pct"/>
          </w:tcPr>
          <w:p w14:paraId="495699AC" w14:textId="1265749B" w:rsidR="005F3CCF" w:rsidRDefault="008C0A04"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E91286">
              <w:rPr>
                <w:rFonts w:asciiTheme="minorHAnsi" w:eastAsiaTheme="minorHAnsi" w:hAnsiTheme="minorHAnsi" w:cstheme="minorBidi"/>
                <w:sz w:val="22"/>
                <w:szCs w:val="22"/>
                <w:lang w:eastAsia="en-US"/>
              </w:rPr>
              <w:t xml:space="preserve">iscussion about </w:t>
            </w:r>
            <w:r w:rsidR="00B30CF8">
              <w:rPr>
                <w:rFonts w:asciiTheme="minorHAnsi" w:eastAsiaTheme="minorHAnsi" w:hAnsiTheme="minorHAnsi" w:cstheme="minorBidi"/>
                <w:sz w:val="22"/>
                <w:szCs w:val="22"/>
                <w:lang w:eastAsia="en-US"/>
              </w:rPr>
              <w:t>the confusion around the PCN Patient Group Meeting and this one.</w:t>
            </w:r>
          </w:p>
          <w:p w14:paraId="33D7DAD1" w14:textId="5DFF6DBB" w:rsidR="00B30CF8" w:rsidRDefault="00B30CF8"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GD explained the possible reason for this might be the splinter group created in March 2023 to support Carers with the charity Action for Family Carers. All 3 practices from Wickford joined and it was to support Carers and to enc</w:t>
            </w:r>
            <w:r w:rsidR="008D48FE">
              <w:rPr>
                <w:rFonts w:asciiTheme="minorHAnsi" w:eastAsiaTheme="minorHAnsi" w:hAnsiTheme="minorHAnsi" w:cstheme="minorBidi"/>
                <w:sz w:val="22"/>
                <w:szCs w:val="22"/>
                <w:lang w:eastAsia="en-US"/>
              </w:rPr>
              <w:t xml:space="preserve">ourage practice to be able to identify Carers. The Reception Team </w:t>
            </w:r>
            <w:r w:rsidR="00CB05EB">
              <w:rPr>
                <w:rFonts w:asciiTheme="minorHAnsi" w:eastAsiaTheme="minorHAnsi" w:hAnsiTheme="minorHAnsi" w:cstheme="minorBidi"/>
                <w:sz w:val="22"/>
                <w:szCs w:val="22"/>
                <w:lang w:eastAsia="en-US"/>
              </w:rPr>
              <w:t>had</w:t>
            </w:r>
            <w:r w:rsidR="008D48FE">
              <w:rPr>
                <w:rFonts w:asciiTheme="minorHAnsi" w:eastAsiaTheme="minorHAnsi" w:hAnsiTheme="minorHAnsi" w:cstheme="minorBidi"/>
                <w:sz w:val="22"/>
                <w:szCs w:val="22"/>
                <w:lang w:eastAsia="en-US"/>
              </w:rPr>
              <w:t xml:space="preserve"> more training and Mel our Paramedic has identified more Carers bringing the total to 140.</w:t>
            </w:r>
          </w:p>
          <w:p w14:paraId="09A25776" w14:textId="07455571" w:rsidR="008D48FE" w:rsidRPr="00171F28" w:rsidRDefault="008D48FE"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GD discussed the Drop-in session held by the Alzheimer’s Society on 15 December 2023 where 16 patients received support with their concerns.</w:t>
            </w:r>
            <w:r w:rsidR="009576CC">
              <w:rPr>
                <w:rFonts w:asciiTheme="minorHAnsi" w:eastAsiaTheme="minorHAnsi" w:hAnsiTheme="minorHAnsi" w:cstheme="minorBidi"/>
                <w:sz w:val="22"/>
                <w:szCs w:val="22"/>
                <w:lang w:eastAsia="en-US"/>
              </w:rPr>
              <w:t xml:space="preserve"> Locally this was the highest number of patients that engaged</w:t>
            </w:r>
            <w:r w:rsidR="00CB05EB">
              <w:rPr>
                <w:rFonts w:asciiTheme="minorHAnsi" w:eastAsiaTheme="minorHAnsi" w:hAnsiTheme="minorHAnsi" w:cstheme="minorBidi"/>
                <w:sz w:val="22"/>
                <w:szCs w:val="22"/>
                <w:lang w:eastAsia="en-US"/>
              </w:rPr>
              <w:t xml:space="preserve"> with them</w:t>
            </w:r>
            <w:r w:rsidR="009576CC">
              <w:rPr>
                <w:rFonts w:asciiTheme="minorHAnsi" w:eastAsiaTheme="minorHAnsi" w:hAnsiTheme="minorHAnsi" w:cstheme="minorBidi"/>
                <w:sz w:val="22"/>
                <w:szCs w:val="22"/>
                <w:lang w:eastAsia="en-US"/>
              </w:rPr>
              <w:t>. Basildon – 7 and Billericay – 0. GD has invited them to return as there is a need for this.</w:t>
            </w:r>
          </w:p>
        </w:tc>
        <w:tc>
          <w:tcPr>
            <w:tcW w:w="232" w:type="pct"/>
          </w:tcPr>
          <w:p w14:paraId="340209EF" w14:textId="77777777" w:rsidR="00171F28" w:rsidRPr="000238E7" w:rsidRDefault="00171F28" w:rsidP="005E56C4">
            <w:pPr>
              <w:spacing w:before="120" w:after="120"/>
              <w:rPr>
                <w:rFonts w:asciiTheme="minorHAnsi" w:hAnsiTheme="minorHAnsi" w:cstheme="minorHAnsi"/>
                <w:sz w:val="22"/>
                <w:szCs w:val="22"/>
              </w:rPr>
            </w:pPr>
          </w:p>
        </w:tc>
      </w:tr>
      <w:tr w:rsidR="005C7308" w:rsidRPr="000238E7" w14:paraId="2BBB02BA" w14:textId="77777777" w:rsidTr="00043968">
        <w:trPr>
          <w:trHeight w:val="153"/>
        </w:trPr>
        <w:tc>
          <w:tcPr>
            <w:tcW w:w="155" w:type="pct"/>
          </w:tcPr>
          <w:p w14:paraId="0BEF0483" w14:textId="61A44002" w:rsidR="005C7308" w:rsidRPr="000238E7" w:rsidRDefault="00043968" w:rsidP="00DB16ED">
            <w:pPr>
              <w:rPr>
                <w:rFonts w:asciiTheme="minorHAnsi" w:hAnsiTheme="minorHAnsi" w:cstheme="minorHAnsi"/>
                <w:b/>
                <w:sz w:val="22"/>
                <w:szCs w:val="22"/>
              </w:rPr>
            </w:pPr>
            <w:r>
              <w:rPr>
                <w:rFonts w:asciiTheme="minorHAnsi" w:hAnsiTheme="minorHAnsi" w:cstheme="minorHAnsi"/>
                <w:b/>
                <w:sz w:val="22"/>
                <w:szCs w:val="22"/>
              </w:rPr>
              <w:t>3</w:t>
            </w:r>
          </w:p>
        </w:tc>
        <w:tc>
          <w:tcPr>
            <w:tcW w:w="4613" w:type="pct"/>
          </w:tcPr>
          <w:p w14:paraId="431ADF0B"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Using Online Consultations</w:t>
            </w:r>
          </w:p>
          <w:p w14:paraId="78EB7FC3"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2.</w:t>
            </w:r>
            <w:r w:rsidRPr="00E91286">
              <w:rPr>
                <w:rFonts w:asciiTheme="minorHAnsi" w:eastAsiaTheme="minorHAnsi" w:hAnsiTheme="minorHAnsi" w:cstheme="minorBidi"/>
                <w:b/>
                <w:bCs/>
                <w:sz w:val="22"/>
                <w:szCs w:val="22"/>
                <w:lang w:eastAsia="en-US"/>
              </w:rPr>
              <w:tab/>
              <w:t>Using the practice website</w:t>
            </w:r>
          </w:p>
          <w:p w14:paraId="7D9142B7"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3.</w:t>
            </w:r>
            <w:r w:rsidRPr="00E91286">
              <w:rPr>
                <w:rFonts w:asciiTheme="minorHAnsi" w:eastAsiaTheme="minorHAnsi" w:hAnsiTheme="minorHAnsi" w:cstheme="minorBidi"/>
                <w:b/>
                <w:bCs/>
                <w:sz w:val="22"/>
                <w:szCs w:val="22"/>
                <w:lang w:eastAsia="en-US"/>
              </w:rPr>
              <w:tab/>
              <w:t>Understanding of Self-Care and if they are using the local pharmacy for advice before they ring for an appointment</w:t>
            </w:r>
          </w:p>
          <w:p w14:paraId="48B94F74"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lastRenderedPageBreak/>
              <w:t>4.</w:t>
            </w:r>
            <w:r w:rsidRPr="00E91286">
              <w:rPr>
                <w:rFonts w:asciiTheme="minorHAnsi" w:eastAsiaTheme="minorHAnsi" w:hAnsiTheme="minorHAnsi" w:cstheme="minorBidi"/>
                <w:b/>
                <w:bCs/>
                <w:sz w:val="22"/>
                <w:szCs w:val="22"/>
                <w:lang w:eastAsia="en-US"/>
              </w:rPr>
              <w:tab/>
              <w:t>Using the NHS App</w:t>
            </w:r>
          </w:p>
          <w:p w14:paraId="082A016A"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5.</w:t>
            </w:r>
            <w:r w:rsidRPr="00E91286">
              <w:rPr>
                <w:rFonts w:asciiTheme="minorHAnsi" w:eastAsiaTheme="minorHAnsi" w:hAnsiTheme="minorHAnsi" w:cstheme="minorBidi"/>
                <w:b/>
                <w:bCs/>
                <w:sz w:val="22"/>
                <w:szCs w:val="22"/>
                <w:lang w:eastAsia="en-US"/>
              </w:rPr>
              <w:tab/>
              <w:t>New Patients can register via the website</w:t>
            </w:r>
          </w:p>
          <w:p w14:paraId="4E85050A"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6.</w:t>
            </w:r>
            <w:r w:rsidRPr="00E91286">
              <w:rPr>
                <w:rFonts w:asciiTheme="minorHAnsi" w:eastAsiaTheme="minorHAnsi" w:hAnsiTheme="minorHAnsi" w:cstheme="minorBidi"/>
                <w:b/>
                <w:bCs/>
                <w:sz w:val="22"/>
                <w:szCs w:val="22"/>
                <w:lang w:eastAsia="en-US"/>
              </w:rPr>
              <w:tab/>
              <w:t>Medication reviews and importance of booking Blood Tests promptly so that these can be done, and medication issued</w:t>
            </w:r>
          </w:p>
          <w:p w14:paraId="601F400D"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7.</w:t>
            </w:r>
            <w:r w:rsidRPr="00E91286">
              <w:rPr>
                <w:rFonts w:asciiTheme="minorHAnsi" w:eastAsiaTheme="minorHAnsi" w:hAnsiTheme="minorHAnsi" w:cstheme="minorBidi"/>
                <w:b/>
                <w:bCs/>
                <w:sz w:val="22"/>
                <w:szCs w:val="22"/>
                <w:lang w:eastAsia="en-US"/>
              </w:rPr>
              <w:tab/>
              <w:t>Staff Training is on the First Tuesday of the month except in January and August</w:t>
            </w:r>
          </w:p>
          <w:p w14:paraId="29E91062"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8.</w:t>
            </w:r>
            <w:r w:rsidRPr="00E91286">
              <w:rPr>
                <w:rFonts w:asciiTheme="minorHAnsi" w:eastAsiaTheme="minorHAnsi" w:hAnsiTheme="minorHAnsi" w:cstheme="minorBidi"/>
                <w:b/>
                <w:bCs/>
                <w:sz w:val="22"/>
                <w:szCs w:val="22"/>
                <w:lang w:eastAsia="en-US"/>
              </w:rPr>
              <w:tab/>
              <w:t>Importance of having a mobile number recorded on the record so that clinicians can use ACCURX to send leaflets and information</w:t>
            </w:r>
          </w:p>
          <w:p w14:paraId="6D265B63" w14:textId="77777777" w:rsidR="00E91286" w:rsidRPr="00E91286"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9.</w:t>
            </w:r>
            <w:r w:rsidRPr="00E91286">
              <w:rPr>
                <w:rFonts w:asciiTheme="minorHAnsi" w:eastAsiaTheme="minorHAnsi" w:hAnsiTheme="minorHAnsi" w:cstheme="minorBidi"/>
                <w:b/>
                <w:bCs/>
                <w:sz w:val="22"/>
                <w:szCs w:val="22"/>
                <w:lang w:eastAsia="en-US"/>
              </w:rPr>
              <w:tab/>
              <w:t xml:space="preserve"> Self-referral Services</w:t>
            </w:r>
          </w:p>
          <w:p w14:paraId="6B8CD67A" w14:textId="738CD25B" w:rsidR="005C7308" w:rsidRPr="005F3CCF" w:rsidRDefault="00E91286" w:rsidP="00E91286">
            <w:pPr>
              <w:spacing w:before="240" w:after="240"/>
              <w:rPr>
                <w:rFonts w:asciiTheme="minorHAnsi" w:eastAsiaTheme="minorHAnsi" w:hAnsiTheme="minorHAnsi" w:cstheme="minorBidi"/>
                <w:b/>
                <w:bCs/>
                <w:sz w:val="22"/>
                <w:szCs w:val="22"/>
                <w:lang w:eastAsia="en-US"/>
              </w:rPr>
            </w:pPr>
            <w:r w:rsidRPr="00E91286">
              <w:rPr>
                <w:rFonts w:asciiTheme="minorHAnsi" w:eastAsiaTheme="minorHAnsi" w:hAnsiTheme="minorHAnsi" w:cstheme="minorBidi"/>
                <w:b/>
                <w:bCs/>
                <w:sz w:val="22"/>
                <w:szCs w:val="22"/>
                <w:lang w:eastAsia="en-US"/>
              </w:rPr>
              <w:t>10.</w:t>
            </w:r>
            <w:r w:rsidRPr="00E91286">
              <w:rPr>
                <w:rFonts w:asciiTheme="minorHAnsi" w:eastAsiaTheme="minorHAnsi" w:hAnsiTheme="minorHAnsi" w:cstheme="minorBidi"/>
                <w:sz w:val="22"/>
                <w:szCs w:val="22"/>
                <w:lang w:eastAsia="en-US"/>
              </w:rPr>
              <w:t xml:space="preserve">         </w:t>
            </w:r>
            <w:r w:rsidRPr="00E91286">
              <w:rPr>
                <w:rFonts w:asciiTheme="minorHAnsi" w:eastAsiaTheme="minorHAnsi" w:hAnsiTheme="minorHAnsi" w:cstheme="minorBidi"/>
                <w:b/>
                <w:bCs/>
                <w:sz w:val="22"/>
                <w:szCs w:val="22"/>
                <w:lang w:eastAsia="en-US"/>
              </w:rPr>
              <w:t>New members for the Patient Group</w:t>
            </w:r>
          </w:p>
        </w:tc>
        <w:tc>
          <w:tcPr>
            <w:tcW w:w="232" w:type="pct"/>
          </w:tcPr>
          <w:p w14:paraId="150CEBB4" w14:textId="6F1E60AC" w:rsidR="005C7308" w:rsidRPr="000238E7" w:rsidRDefault="005C7308" w:rsidP="005E56C4">
            <w:pPr>
              <w:spacing w:before="120" w:after="120"/>
              <w:rPr>
                <w:rFonts w:asciiTheme="minorHAnsi" w:hAnsiTheme="minorHAnsi" w:cstheme="minorHAnsi"/>
                <w:sz w:val="22"/>
                <w:szCs w:val="22"/>
              </w:rPr>
            </w:pPr>
          </w:p>
        </w:tc>
      </w:tr>
      <w:tr w:rsidR="005C7308" w:rsidRPr="000238E7" w14:paraId="27E8ADED" w14:textId="77777777" w:rsidTr="00043968">
        <w:trPr>
          <w:trHeight w:val="153"/>
        </w:trPr>
        <w:tc>
          <w:tcPr>
            <w:tcW w:w="155" w:type="pct"/>
          </w:tcPr>
          <w:p w14:paraId="40646519" w14:textId="77777777" w:rsidR="005C7308" w:rsidRPr="000238E7" w:rsidRDefault="005C7308" w:rsidP="00DB16ED">
            <w:pPr>
              <w:rPr>
                <w:rFonts w:asciiTheme="minorHAnsi" w:hAnsiTheme="minorHAnsi" w:cstheme="minorHAnsi"/>
                <w:b/>
                <w:sz w:val="22"/>
                <w:szCs w:val="22"/>
              </w:rPr>
            </w:pPr>
          </w:p>
        </w:tc>
        <w:tc>
          <w:tcPr>
            <w:tcW w:w="4613" w:type="pct"/>
          </w:tcPr>
          <w:p w14:paraId="49F0C9E8" w14:textId="77777777" w:rsidR="009576CC" w:rsidRDefault="009576CC" w:rsidP="009576CC">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GD reminded everyone about working closely with community services and organisations who can support patients better and the visit from the ICB in 2023 about this. BS shared his handout from that day and GD to share this with SB who would like further discussion with the Practice Manager about this.</w:t>
            </w:r>
          </w:p>
          <w:p w14:paraId="357E94BC" w14:textId="77777777" w:rsidR="009576CC" w:rsidRDefault="009576CC" w:rsidP="009576CC">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GD discussed the target for the NHS App. Currently we have 59% of our patients using the NHS APP and we need 75% by March 2024. Advantages of the App discussed.</w:t>
            </w:r>
          </w:p>
          <w:p w14:paraId="541CC6C3" w14:textId="77777777" w:rsidR="009576CC" w:rsidRDefault="009576CC" w:rsidP="009576CC">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Discussion around new members of the group and if we need to merge with the other 2 practices. All agreed to continue with the group at LRS for the present.</w:t>
            </w:r>
          </w:p>
          <w:p w14:paraId="3996562F" w14:textId="77777777" w:rsidR="004D1A1A" w:rsidRDefault="009576CC" w:rsidP="009576CC">
            <w:pPr>
              <w:spacing w:before="120" w:after="1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GD discussed the Self-referral Services and shared the information sheet that Reception use.</w:t>
            </w:r>
          </w:p>
          <w:p w14:paraId="4AF6D2E4" w14:textId="77777777" w:rsidR="009576CC" w:rsidRDefault="009576CC" w:rsidP="009576CC">
            <w:pPr>
              <w:spacing w:before="120" w:after="120"/>
              <w:rPr>
                <w:rFonts w:asciiTheme="minorHAnsi" w:hAnsiTheme="minorHAnsi" w:cstheme="minorHAnsi"/>
                <w:sz w:val="22"/>
                <w:szCs w:val="22"/>
              </w:rPr>
            </w:pPr>
            <w:r>
              <w:rPr>
                <w:rFonts w:asciiTheme="minorHAnsi" w:hAnsiTheme="minorHAnsi" w:cstheme="minorHAnsi"/>
                <w:sz w:val="22"/>
                <w:szCs w:val="22"/>
              </w:rPr>
              <w:t>Discussion around new members for the group: suggestions for more advertising using the Touchscreen in Reception.</w:t>
            </w:r>
          </w:p>
          <w:p w14:paraId="2339A62C" w14:textId="09EB84A7" w:rsidR="009576CC" w:rsidRDefault="009576CC" w:rsidP="009576CC">
            <w:pPr>
              <w:spacing w:before="120" w:after="120"/>
              <w:rPr>
                <w:rFonts w:asciiTheme="minorHAnsi" w:hAnsiTheme="minorHAnsi" w:cstheme="minorHAnsi"/>
                <w:sz w:val="22"/>
                <w:szCs w:val="22"/>
              </w:rPr>
            </w:pPr>
            <w:r>
              <w:rPr>
                <w:rFonts w:asciiTheme="minorHAnsi" w:hAnsiTheme="minorHAnsi" w:cstheme="minorHAnsi"/>
                <w:sz w:val="22"/>
                <w:szCs w:val="22"/>
              </w:rPr>
              <w:t>Campaigns across the year were discussed and LRS will support the PPG to do this. The Drop-In session by Alzheimer’s Society was such a success that this format can be used again to share information with the patients. GD discussed previous experience working in other practices where the Patient Group did session</w:t>
            </w:r>
            <w:r w:rsidR="00CB05EB">
              <w:rPr>
                <w:rFonts w:asciiTheme="minorHAnsi" w:hAnsiTheme="minorHAnsi" w:cstheme="minorHAnsi"/>
                <w:sz w:val="22"/>
                <w:szCs w:val="22"/>
              </w:rPr>
              <w:t>s</w:t>
            </w:r>
            <w:r>
              <w:rPr>
                <w:rFonts w:asciiTheme="minorHAnsi" w:hAnsiTheme="minorHAnsi" w:cstheme="minorHAnsi"/>
                <w:sz w:val="22"/>
                <w:szCs w:val="22"/>
              </w:rPr>
              <w:t xml:space="preserve"> for World Sepsis Day and Free activities during the Summer Holidays. </w:t>
            </w:r>
          </w:p>
          <w:p w14:paraId="66874D84" w14:textId="76F60FB7" w:rsidR="009576CC" w:rsidRPr="000238E7" w:rsidRDefault="009576CC" w:rsidP="009576CC">
            <w:pPr>
              <w:spacing w:before="120" w:after="120"/>
              <w:rPr>
                <w:rFonts w:asciiTheme="minorHAnsi" w:hAnsiTheme="minorHAnsi" w:cstheme="minorHAnsi"/>
                <w:sz w:val="22"/>
                <w:szCs w:val="22"/>
              </w:rPr>
            </w:pPr>
            <w:r>
              <w:rPr>
                <w:rFonts w:asciiTheme="minorHAnsi" w:hAnsiTheme="minorHAnsi" w:cstheme="minorHAnsi"/>
                <w:sz w:val="22"/>
                <w:szCs w:val="22"/>
              </w:rPr>
              <w:t>Agreed to meet again In February to discuss this further.</w:t>
            </w:r>
          </w:p>
        </w:tc>
        <w:tc>
          <w:tcPr>
            <w:tcW w:w="232"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E91286" w:rsidRPr="000238E7" w14:paraId="583EA144" w14:textId="77777777" w:rsidTr="00043968">
        <w:trPr>
          <w:trHeight w:val="153"/>
        </w:trPr>
        <w:tc>
          <w:tcPr>
            <w:tcW w:w="155" w:type="pct"/>
          </w:tcPr>
          <w:p w14:paraId="72F11B5C" w14:textId="2AE91309" w:rsidR="00E91286" w:rsidRPr="000238E7" w:rsidRDefault="00E91286" w:rsidP="00DB16ED">
            <w:pPr>
              <w:rPr>
                <w:rFonts w:asciiTheme="minorHAnsi" w:hAnsiTheme="minorHAnsi" w:cstheme="minorHAnsi"/>
                <w:b/>
                <w:sz w:val="22"/>
                <w:szCs w:val="22"/>
              </w:rPr>
            </w:pPr>
            <w:r>
              <w:rPr>
                <w:rFonts w:asciiTheme="minorHAnsi" w:hAnsiTheme="minorHAnsi" w:cstheme="minorHAnsi"/>
                <w:b/>
                <w:sz w:val="22"/>
                <w:szCs w:val="22"/>
              </w:rPr>
              <w:t>4</w:t>
            </w:r>
          </w:p>
        </w:tc>
        <w:tc>
          <w:tcPr>
            <w:tcW w:w="4613" w:type="pct"/>
          </w:tcPr>
          <w:p w14:paraId="6CCD1E7F" w14:textId="77777777" w:rsidR="00E91286" w:rsidRPr="00E91286" w:rsidRDefault="00E91286" w:rsidP="00E91286">
            <w:pPr>
              <w:spacing w:before="120" w:after="120" w:line="240" w:lineRule="auto"/>
              <w:rPr>
                <w:rFonts w:asciiTheme="minorHAnsi" w:hAnsiTheme="minorHAnsi" w:cstheme="minorHAnsi"/>
                <w:b/>
                <w:bCs/>
                <w:sz w:val="22"/>
                <w:szCs w:val="22"/>
              </w:rPr>
            </w:pPr>
            <w:r w:rsidRPr="00E91286">
              <w:rPr>
                <w:rFonts w:asciiTheme="minorHAnsi" w:hAnsiTheme="minorHAnsi" w:cstheme="minorHAnsi"/>
                <w:b/>
                <w:bCs/>
                <w:sz w:val="22"/>
                <w:szCs w:val="22"/>
              </w:rPr>
              <w:t>Reminder</w:t>
            </w:r>
          </w:p>
          <w:p w14:paraId="1417D6E4" w14:textId="77777777" w:rsidR="00E91286" w:rsidRPr="00E91286" w:rsidRDefault="00E91286" w:rsidP="00E91286">
            <w:pPr>
              <w:spacing w:before="120" w:after="120" w:line="240" w:lineRule="auto"/>
              <w:rPr>
                <w:rFonts w:asciiTheme="minorHAnsi" w:hAnsiTheme="minorHAnsi" w:cstheme="minorHAnsi"/>
                <w:b/>
                <w:bCs/>
                <w:sz w:val="22"/>
                <w:szCs w:val="22"/>
              </w:rPr>
            </w:pPr>
            <w:r w:rsidRPr="00E91286">
              <w:rPr>
                <w:rFonts w:asciiTheme="minorHAnsi" w:hAnsiTheme="minorHAnsi" w:cstheme="minorHAnsi"/>
                <w:b/>
                <w:bCs/>
                <w:sz w:val="22"/>
                <w:szCs w:val="22"/>
              </w:rPr>
              <w:t>PCN Staff:</w:t>
            </w:r>
          </w:p>
          <w:p w14:paraId="719B99E7" w14:textId="77777777" w:rsidR="00E91286" w:rsidRPr="00E91286" w:rsidRDefault="00E91286" w:rsidP="00E91286">
            <w:pPr>
              <w:spacing w:before="120" w:after="120" w:line="240" w:lineRule="auto"/>
              <w:rPr>
                <w:rFonts w:asciiTheme="minorHAnsi" w:hAnsiTheme="minorHAnsi" w:cstheme="minorHAnsi"/>
                <w:b/>
                <w:bCs/>
                <w:sz w:val="22"/>
                <w:szCs w:val="22"/>
              </w:rPr>
            </w:pPr>
            <w:r w:rsidRPr="00E91286">
              <w:rPr>
                <w:rFonts w:asciiTheme="minorHAnsi" w:hAnsiTheme="minorHAnsi" w:cstheme="minorHAnsi"/>
                <w:b/>
                <w:bCs/>
                <w:sz w:val="22"/>
                <w:szCs w:val="22"/>
              </w:rPr>
              <w:t>- PCN Pharmacists</w:t>
            </w:r>
          </w:p>
          <w:p w14:paraId="796C3225" w14:textId="77777777" w:rsidR="00E91286" w:rsidRPr="00E91286" w:rsidRDefault="00E91286" w:rsidP="00E91286">
            <w:pPr>
              <w:spacing w:before="120" w:after="120" w:line="240" w:lineRule="auto"/>
              <w:rPr>
                <w:rFonts w:asciiTheme="minorHAnsi" w:hAnsiTheme="minorHAnsi" w:cstheme="minorHAnsi"/>
                <w:b/>
                <w:bCs/>
                <w:sz w:val="22"/>
                <w:szCs w:val="22"/>
              </w:rPr>
            </w:pPr>
            <w:r w:rsidRPr="00E91286">
              <w:rPr>
                <w:rFonts w:asciiTheme="minorHAnsi" w:hAnsiTheme="minorHAnsi" w:cstheme="minorHAnsi"/>
                <w:b/>
                <w:bCs/>
                <w:sz w:val="22"/>
                <w:szCs w:val="22"/>
              </w:rPr>
              <w:t xml:space="preserve">- PCN Care Home Team  </w:t>
            </w:r>
          </w:p>
          <w:p w14:paraId="46CC9FC4" w14:textId="77777777" w:rsidR="00E91286" w:rsidRPr="00E91286" w:rsidRDefault="00E91286" w:rsidP="00E91286">
            <w:pPr>
              <w:spacing w:before="120" w:after="120" w:line="240" w:lineRule="auto"/>
              <w:rPr>
                <w:rFonts w:asciiTheme="minorHAnsi" w:hAnsiTheme="minorHAnsi" w:cstheme="minorHAnsi"/>
                <w:b/>
                <w:bCs/>
                <w:sz w:val="22"/>
                <w:szCs w:val="22"/>
              </w:rPr>
            </w:pPr>
            <w:r w:rsidRPr="00E91286">
              <w:rPr>
                <w:rFonts w:asciiTheme="minorHAnsi" w:hAnsiTheme="minorHAnsi" w:cstheme="minorHAnsi"/>
                <w:b/>
                <w:bCs/>
                <w:sz w:val="22"/>
                <w:szCs w:val="22"/>
              </w:rPr>
              <w:t>- PCN Dietician</w:t>
            </w:r>
          </w:p>
          <w:p w14:paraId="26B38632" w14:textId="3319F274" w:rsidR="00E91286" w:rsidRPr="000238E7" w:rsidRDefault="00E91286" w:rsidP="00E91286">
            <w:pPr>
              <w:spacing w:before="120" w:after="120"/>
              <w:rPr>
                <w:rFonts w:asciiTheme="minorHAnsi" w:hAnsiTheme="minorHAnsi" w:cstheme="minorHAnsi"/>
                <w:sz w:val="22"/>
                <w:szCs w:val="22"/>
              </w:rPr>
            </w:pPr>
            <w:r w:rsidRPr="00E91286">
              <w:rPr>
                <w:rFonts w:asciiTheme="minorHAnsi" w:hAnsiTheme="minorHAnsi" w:cstheme="minorHAnsi"/>
                <w:b/>
                <w:bCs/>
                <w:sz w:val="22"/>
                <w:szCs w:val="22"/>
              </w:rPr>
              <w:t>- PCN Social Prescriber – Abi Ope-Ewe</w:t>
            </w:r>
          </w:p>
        </w:tc>
        <w:tc>
          <w:tcPr>
            <w:tcW w:w="232" w:type="pct"/>
          </w:tcPr>
          <w:p w14:paraId="502FE3AF" w14:textId="77777777" w:rsidR="00E91286" w:rsidRPr="000238E7" w:rsidRDefault="00E91286" w:rsidP="005E56C4">
            <w:pPr>
              <w:spacing w:before="120" w:after="120"/>
              <w:rPr>
                <w:rFonts w:asciiTheme="minorHAnsi" w:hAnsiTheme="minorHAnsi" w:cstheme="minorHAnsi"/>
                <w:sz w:val="22"/>
                <w:szCs w:val="22"/>
              </w:rPr>
            </w:pPr>
          </w:p>
        </w:tc>
      </w:tr>
      <w:tr w:rsidR="00E91286" w:rsidRPr="000238E7" w14:paraId="0DB6F264" w14:textId="77777777" w:rsidTr="00043968">
        <w:trPr>
          <w:trHeight w:val="153"/>
        </w:trPr>
        <w:tc>
          <w:tcPr>
            <w:tcW w:w="155" w:type="pct"/>
          </w:tcPr>
          <w:p w14:paraId="2CFA4C86" w14:textId="77777777" w:rsidR="00E91286" w:rsidRPr="000238E7" w:rsidRDefault="00E91286" w:rsidP="00DB16ED">
            <w:pPr>
              <w:rPr>
                <w:rFonts w:asciiTheme="minorHAnsi" w:hAnsiTheme="minorHAnsi" w:cstheme="minorHAnsi"/>
                <w:b/>
                <w:sz w:val="22"/>
                <w:szCs w:val="22"/>
              </w:rPr>
            </w:pPr>
          </w:p>
        </w:tc>
        <w:tc>
          <w:tcPr>
            <w:tcW w:w="4613" w:type="pct"/>
          </w:tcPr>
          <w:p w14:paraId="19567B63" w14:textId="0D38A3F0" w:rsidR="00E91286" w:rsidRPr="000238E7" w:rsidRDefault="00E91286" w:rsidP="00125C2B">
            <w:pPr>
              <w:spacing w:before="120" w:after="120"/>
              <w:rPr>
                <w:rFonts w:asciiTheme="minorHAnsi" w:hAnsiTheme="minorHAnsi" w:cstheme="minorHAnsi"/>
                <w:sz w:val="22"/>
                <w:szCs w:val="22"/>
              </w:rPr>
            </w:pPr>
            <w:r>
              <w:rPr>
                <w:rFonts w:asciiTheme="minorHAnsi" w:hAnsiTheme="minorHAnsi" w:cstheme="minorHAnsi"/>
                <w:sz w:val="22"/>
                <w:szCs w:val="22"/>
              </w:rPr>
              <w:t>GD reminded everyone about the PCN staff supporting Primary Care</w:t>
            </w:r>
            <w:r w:rsidR="009576CC">
              <w:rPr>
                <w:rFonts w:asciiTheme="minorHAnsi" w:hAnsiTheme="minorHAnsi" w:cstheme="minorHAnsi"/>
                <w:sz w:val="22"/>
                <w:szCs w:val="22"/>
              </w:rPr>
              <w:t>.</w:t>
            </w:r>
          </w:p>
        </w:tc>
        <w:tc>
          <w:tcPr>
            <w:tcW w:w="232" w:type="pct"/>
          </w:tcPr>
          <w:p w14:paraId="25C83C1D" w14:textId="77777777" w:rsidR="00E91286" w:rsidRPr="000238E7" w:rsidRDefault="00E91286" w:rsidP="005E56C4">
            <w:pPr>
              <w:spacing w:before="120" w:after="120"/>
              <w:rPr>
                <w:rFonts w:asciiTheme="minorHAnsi" w:hAnsiTheme="minorHAnsi" w:cstheme="minorHAnsi"/>
                <w:sz w:val="22"/>
                <w:szCs w:val="22"/>
              </w:rPr>
            </w:pPr>
          </w:p>
        </w:tc>
      </w:tr>
      <w:tr w:rsidR="00E91286" w:rsidRPr="000238E7" w14:paraId="5082C926" w14:textId="77777777" w:rsidTr="00043968">
        <w:trPr>
          <w:trHeight w:val="153"/>
        </w:trPr>
        <w:tc>
          <w:tcPr>
            <w:tcW w:w="155" w:type="pct"/>
          </w:tcPr>
          <w:p w14:paraId="0B67D173" w14:textId="510FA955" w:rsidR="00E91286" w:rsidRPr="000238E7" w:rsidRDefault="00E91286" w:rsidP="00DB16ED">
            <w:pPr>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4613" w:type="pct"/>
          </w:tcPr>
          <w:p w14:paraId="28DAEB2A" w14:textId="54586996" w:rsidR="00E91286" w:rsidRPr="00E91286" w:rsidRDefault="00E91286" w:rsidP="00125C2B">
            <w:pPr>
              <w:spacing w:before="120" w:after="120"/>
              <w:rPr>
                <w:rFonts w:asciiTheme="minorHAnsi" w:hAnsiTheme="minorHAnsi" w:cstheme="minorHAnsi"/>
                <w:b/>
                <w:bCs/>
                <w:sz w:val="22"/>
                <w:szCs w:val="22"/>
              </w:rPr>
            </w:pPr>
            <w:r w:rsidRPr="00E91286">
              <w:rPr>
                <w:rFonts w:asciiTheme="minorHAnsi" w:hAnsiTheme="minorHAnsi" w:cstheme="minorHAnsi"/>
                <w:b/>
                <w:bCs/>
                <w:sz w:val="22"/>
                <w:szCs w:val="22"/>
              </w:rPr>
              <w:t>Increase in abusive behaviour towards Reception and Secretarial Staff</w:t>
            </w:r>
          </w:p>
        </w:tc>
        <w:tc>
          <w:tcPr>
            <w:tcW w:w="232" w:type="pct"/>
          </w:tcPr>
          <w:p w14:paraId="717C818C" w14:textId="77777777" w:rsidR="00E91286" w:rsidRPr="000238E7" w:rsidRDefault="00E91286" w:rsidP="005E56C4">
            <w:pPr>
              <w:spacing w:before="120" w:after="120"/>
              <w:rPr>
                <w:rFonts w:asciiTheme="minorHAnsi" w:hAnsiTheme="minorHAnsi" w:cstheme="minorHAnsi"/>
                <w:sz w:val="22"/>
                <w:szCs w:val="22"/>
              </w:rPr>
            </w:pPr>
          </w:p>
        </w:tc>
      </w:tr>
      <w:tr w:rsidR="00E91286" w:rsidRPr="000238E7" w14:paraId="1775BB3A" w14:textId="77777777" w:rsidTr="00043968">
        <w:trPr>
          <w:trHeight w:val="153"/>
        </w:trPr>
        <w:tc>
          <w:tcPr>
            <w:tcW w:w="155" w:type="pct"/>
          </w:tcPr>
          <w:p w14:paraId="630DB967" w14:textId="77777777" w:rsidR="00E91286" w:rsidRPr="000238E7" w:rsidRDefault="00E91286" w:rsidP="00DB16ED">
            <w:pPr>
              <w:rPr>
                <w:rFonts w:asciiTheme="minorHAnsi" w:hAnsiTheme="minorHAnsi" w:cstheme="minorHAnsi"/>
                <w:b/>
                <w:sz w:val="22"/>
                <w:szCs w:val="22"/>
              </w:rPr>
            </w:pPr>
          </w:p>
        </w:tc>
        <w:tc>
          <w:tcPr>
            <w:tcW w:w="4613" w:type="pct"/>
          </w:tcPr>
          <w:p w14:paraId="208E994F" w14:textId="2EF60755" w:rsidR="00E91286" w:rsidRPr="000238E7" w:rsidRDefault="00E91286" w:rsidP="00125C2B">
            <w:pPr>
              <w:spacing w:before="120" w:after="120"/>
              <w:rPr>
                <w:rFonts w:asciiTheme="minorHAnsi" w:hAnsiTheme="minorHAnsi" w:cstheme="minorHAnsi"/>
                <w:sz w:val="22"/>
                <w:szCs w:val="22"/>
              </w:rPr>
            </w:pPr>
            <w:r>
              <w:rPr>
                <w:rFonts w:asciiTheme="minorHAnsi" w:hAnsiTheme="minorHAnsi" w:cstheme="minorHAnsi"/>
                <w:sz w:val="22"/>
                <w:szCs w:val="22"/>
              </w:rPr>
              <w:t xml:space="preserve">GD spoke about the recent increase in abusive behaviour from patients and that staff </w:t>
            </w:r>
            <w:r w:rsidR="00453B52">
              <w:rPr>
                <w:rFonts w:asciiTheme="minorHAnsi" w:hAnsiTheme="minorHAnsi" w:cstheme="minorHAnsi"/>
                <w:sz w:val="22"/>
                <w:szCs w:val="22"/>
              </w:rPr>
              <w:t>are faced with</w:t>
            </w:r>
            <w:r>
              <w:rPr>
                <w:rFonts w:asciiTheme="minorHAnsi" w:hAnsiTheme="minorHAnsi" w:cstheme="minorHAnsi"/>
                <w:sz w:val="22"/>
                <w:szCs w:val="22"/>
              </w:rPr>
              <w:t>. We have a process in place. The patient is sent a Warning Letter about their behaviour and what the consequences will be if the behaviour is repeated.</w:t>
            </w:r>
          </w:p>
        </w:tc>
        <w:tc>
          <w:tcPr>
            <w:tcW w:w="232" w:type="pct"/>
          </w:tcPr>
          <w:p w14:paraId="199C2CF7" w14:textId="77777777" w:rsidR="00E91286" w:rsidRPr="000238E7" w:rsidRDefault="00E91286" w:rsidP="005E56C4">
            <w:pPr>
              <w:spacing w:before="120" w:after="120"/>
              <w:rPr>
                <w:rFonts w:asciiTheme="minorHAnsi" w:hAnsiTheme="minorHAnsi" w:cstheme="minorHAnsi"/>
                <w:sz w:val="22"/>
                <w:szCs w:val="22"/>
              </w:rPr>
            </w:pPr>
          </w:p>
        </w:tc>
      </w:tr>
      <w:tr w:rsidR="002B7F06" w:rsidRPr="000238E7" w14:paraId="3CE5CEF9" w14:textId="77777777" w:rsidTr="00043968">
        <w:trPr>
          <w:trHeight w:val="153"/>
        </w:trPr>
        <w:tc>
          <w:tcPr>
            <w:tcW w:w="155" w:type="pct"/>
          </w:tcPr>
          <w:p w14:paraId="55D49222" w14:textId="77777777" w:rsidR="002B7F06" w:rsidRPr="000238E7" w:rsidRDefault="002B7F06" w:rsidP="00DB16ED">
            <w:pPr>
              <w:rPr>
                <w:rFonts w:asciiTheme="minorHAnsi" w:hAnsiTheme="minorHAnsi" w:cstheme="minorHAnsi"/>
                <w:b/>
                <w:sz w:val="22"/>
                <w:szCs w:val="22"/>
              </w:rPr>
            </w:pPr>
          </w:p>
        </w:tc>
        <w:tc>
          <w:tcPr>
            <w:tcW w:w="4613" w:type="pct"/>
          </w:tcPr>
          <w:p w14:paraId="56F6FA64" w14:textId="51EF249D" w:rsidR="002B7F06" w:rsidRPr="002B7F06" w:rsidRDefault="002B7F06" w:rsidP="00125C2B">
            <w:pPr>
              <w:spacing w:before="120" w:after="120"/>
              <w:rPr>
                <w:rFonts w:asciiTheme="minorHAnsi" w:hAnsiTheme="minorHAnsi" w:cstheme="minorHAnsi"/>
                <w:b/>
                <w:bCs/>
                <w:sz w:val="22"/>
                <w:szCs w:val="22"/>
              </w:rPr>
            </w:pPr>
            <w:r w:rsidRPr="002B7F06">
              <w:rPr>
                <w:rFonts w:asciiTheme="minorHAnsi" w:hAnsiTheme="minorHAnsi" w:cstheme="minorHAnsi"/>
                <w:b/>
                <w:bCs/>
                <w:sz w:val="22"/>
                <w:szCs w:val="22"/>
              </w:rPr>
              <w:t>AOB</w:t>
            </w:r>
          </w:p>
        </w:tc>
        <w:tc>
          <w:tcPr>
            <w:tcW w:w="232" w:type="pct"/>
          </w:tcPr>
          <w:p w14:paraId="5BF0B893" w14:textId="77777777" w:rsidR="002B7F06" w:rsidRPr="000238E7" w:rsidRDefault="002B7F06" w:rsidP="005E56C4">
            <w:pPr>
              <w:spacing w:before="120" w:after="120"/>
              <w:rPr>
                <w:rFonts w:asciiTheme="minorHAnsi" w:hAnsiTheme="minorHAnsi" w:cstheme="minorHAnsi"/>
                <w:sz w:val="22"/>
                <w:szCs w:val="22"/>
              </w:rPr>
            </w:pPr>
          </w:p>
        </w:tc>
      </w:tr>
      <w:tr w:rsidR="002B7F06" w:rsidRPr="000238E7" w14:paraId="1CACF30D" w14:textId="77777777" w:rsidTr="00043968">
        <w:trPr>
          <w:trHeight w:val="153"/>
        </w:trPr>
        <w:tc>
          <w:tcPr>
            <w:tcW w:w="155" w:type="pct"/>
          </w:tcPr>
          <w:p w14:paraId="51B46531" w14:textId="77777777" w:rsidR="002B7F06" w:rsidRPr="000238E7" w:rsidRDefault="002B7F06" w:rsidP="00DB16ED">
            <w:pPr>
              <w:rPr>
                <w:rFonts w:asciiTheme="minorHAnsi" w:hAnsiTheme="minorHAnsi" w:cstheme="minorHAnsi"/>
                <w:b/>
                <w:sz w:val="22"/>
                <w:szCs w:val="22"/>
              </w:rPr>
            </w:pPr>
          </w:p>
        </w:tc>
        <w:tc>
          <w:tcPr>
            <w:tcW w:w="4613" w:type="pct"/>
          </w:tcPr>
          <w:p w14:paraId="109AE5CA" w14:textId="62148B62" w:rsidR="002B7F06" w:rsidRPr="002B7F06" w:rsidRDefault="002B7F06" w:rsidP="002B7F06">
            <w:pPr>
              <w:pStyle w:val="ListParagraph"/>
              <w:numPr>
                <w:ilvl w:val="0"/>
                <w:numId w:val="34"/>
              </w:numPr>
              <w:spacing w:before="120" w:after="120"/>
              <w:rPr>
                <w:rFonts w:asciiTheme="minorHAnsi" w:hAnsiTheme="minorHAnsi" w:cstheme="minorHAnsi"/>
                <w:sz w:val="22"/>
                <w:szCs w:val="22"/>
              </w:rPr>
            </w:pPr>
          </w:p>
        </w:tc>
        <w:tc>
          <w:tcPr>
            <w:tcW w:w="232" w:type="pct"/>
          </w:tcPr>
          <w:p w14:paraId="216E39D2" w14:textId="77777777" w:rsidR="002B7F06" w:rsidRPr="000238E7" w:rsidRDefault="002B7F06" w:rsidP="005E56C4">
            <w:pPr>
              <w:spacing w:before="120" w:after="120"/>
              <w:rPr>
                <w:rFonts w:asciiTheme="minorHAnsi" w:hAnsiTheme="minorHAnsi" w:cstheme="minorHAnsi"/>
                <w:sz w:val="22"/>
                <w:szCs w:val="22"/>
              </w:rPr>
            </w:pPr>
          </w:p>
        </w:tc>
      </w:tr>
      <w:tr w:rsidR="004A5599" w:rsidRPr="00264491" w14:paraId="29E557E9" w14:textId="77777777" w:rsidTr="00043968">
        <w:trPr>
          <w:trHeight w:val="153"/>
        </w:trPr>
        <w:tc>
          <w:tcPr>
            <w:tcW w:w="155" w:type="pct"/>
          </w:tcPr>
          <w:p w14:paraId="24651705" w14:textId="392A3315" w:rsidR="004A5599" w:rsidRPr="005F3CCF" w:rsidRDefault="004A5599" w:rsidP="00DB16ED">
            <w:pPr>
              <w:rPr>
                <w:rFonts w:asciiTheme="minorHAnsi" w:hAnsiTheme="minorHAnsi" w:cstheme="minorHAnsi"/>
                <w:b/>
                <w:sz w:val="22"/>
                <w:szCs w:val="22"/>
              </w:rPr>
            </w:pPr>
          </w:p>
        </w:tc>
        <w:tc>
          <w:tcPr>
            <w:tcW w:w="4613" w:type="pct"/>
          </w:tcPr>
          <w:p w14:paraId="75A1C4D2"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Reminder:</w:t>
            </w:r>
          </w:p>
          <w:p w14:paraId="17950921"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PCN Staff:</w:t>
            </w:r>
          </w:p>
          <w:p w14:paraId="4B8BFB53"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-PCN Pharmacists</w:t>
            </w:r>
          </w:p>
          <w:p w14:paraId="54356BCE"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 xml:space="preserve">-PCN Care Home Team  </w:t>
            </w:r>
          </w:p>
          <w:p w14:paraId="207590B5"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-PCN Dietician</w:t>
            </w:r>
          </w:p>
          <w:p w14:paraId="593D458C" w14:textId="77777777" w:rsidR="002B7F06" w:rsidRPr="002B7F06"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-Social Prescriber</w:t>
            </w:r>
          </w:p>
          <w:p w14:paraId="5530DDF4" w14:textId="1EA1E4E0" w:rsidR="00746F38" w:rsidRPr="001D5BEE" w:rsidRDefault="002B7F06" w:rsidP="002B7F06">
            <w:pPr>
              <w:spacing w:before="120" w:after="120"/>
              <w:rPr>
                <w:rFonts w:asciiTheme="minorHAnsi" w:hAnsiTheme="minorHAnsi" w:cstheme="minorHAnsi"/>
                <w:b/>
                <w:sz w:val="22"/>
                <w:szCs w:val="22"/>
              </w:rPr>
            </w:pPr>
            <w:r w:rsidRPr="002B7F06">
              <w:rPr>
                <w:rFonts w:asciiTheme="minorHAnsi" w:hAnsiTheme="minorHAnsi" w:cstheme="minorHAnsi"/>
                <w:b/>
                <w:sz w:val="22"/>
                <w:szCs w:val="22"/>
              </w:rPr>
              <w:t>Community Pharmacy Consultation Service (CPCS)</w:t>
            </w:r>
          </w:p>
        </w:tc>
        <w:tc>
          <w:tcPr>
            <w:tcW w:w="232" w:type="pct"/>
          </w:tcPr>
          <w:p w14:paraId="4EBFA9E3" w14:textId="45577683" w:rsidR="004A5599" w:rsidRPr="00F609C4" w:rsidRDefault="004A5599" w:rsidP="005E56C4">
            <w:pPr>
              <w:spacing w:before="120" w:after="120"/>
              <w:rPr>
                <w:rFonts w:asciiTheme="minorHAnsi" w:hAnsiTheme="minorHAnsi" w:cstheme="minorHAnsi"/>
                <w:sz w:val="22"/>
                <w:szCs w:val="22"/>
              </w:rPr>
            </w:pPr>
          </w:p>
        </w:tc>
      </w:tr>
      <w:tr w:rsidR="004A5599" w:rsidRPr="00264491" w14:paraId="4285634A" w14:textId="77777777" w:rsidTr="00043968">
        <w:trPr>
          <w:trHeight w:val="153"/>
        </w:trPr>
        <w:tc>
          <w:tcPr>
            <w:tcW w:w="155" w:type="pct"/>
          </w:tcPr>
          <w:p w14:paraId="5E6A5571" w14:textId="77777777" w:rsidR="004A5599" w:rsidRDefault="004A5599" w:rsidP="00DB16ED">
            <w:pPr>
              <w:rPr>
                <w:rFonts w:ascii="Arial" w:hAnsi="Arial" w:cs="Arial"/>
                <w:b/>
                <w:sz w:val="22"/>
                <w:szCs w:val="22"/>
              </w:rPr>
            </w:pPr>
          </w:p>
        </w:tc>
        <w:tc>
          <w:tcPr>
            <w:tcW w:w="4613" w:type="pct"/>
          </w:tcPr>
          <w:p w14:paraId="60BC2514" w14:textId="5669F007" w:rsidR="005D5173" w:rsidRPr="001D5BEE" w:rsidRDefault="0065709A" w:rsidP="002B7F06">
            <w:pPr>
              <w:spacing w:before="100" w:beforeAutospacing="1" w:after="100" w:afterAutospacing="1"/>
              <w:rPr>
                <w:rFonts w:asciiTheme="minorHAnsi" w:hAnsiTheme="minorHAnsi" w:cstheme="minorHAnsi"/>
                <w:bCs/>
                <w:color w:val="0000FF" w:themeColor="hyperlink"/>
                <w:sz w:val="22"/>
                <w:szCs w:val="22"/>
              </w:rPr>
            </w:pPr>
            <w:r w:rsidRPr="0065709A">
              <w:rPr>
                <w:rFonts w:asciiTheme="minorHAnsi" w:hAnsiTheme="minorHAnsi" w:cstheme="minorHAnsi"/>
                <w:bCs/>
                <w:sz w:val="22"/>
                <w:szCs w:val="22"/>
              </w:rPr>
              <w:t xml:space="preserve"> </w:t>
            </w:r>
          </w:p>
        </w:tc>
        <w:tc>
          <w:tcPr>
            <w:tcW w:w="232" w:type="pct"/>
          </w:tcPr>
          <w:p w14:paraId="2CE75A71" w14:textId="77777777" w:rsidR="004A5599" w:rsidRPr="000238E7" w:rsidRDefault="004A5599" w:rsidP="005E56C4">
            <w:pPr>
              <w:spacing w:before="120" w:after="120"/>
              <w:rPr>
                <w:rFonts w:asciiTheme="minorHAnsi" w:hAnsiTheme="minorHAnsi" w:cstheme="minorHAnsi"/>
                <w:sz w:val="22"/>
                <w:szCs w:val="22"/>
              </w:rPr>
            </w:pPr>
          </w:p>
        </w:tc>
      </w:tr>
      <w:tr w:rsidR="005F3CCF" w:rsidRPr="00264491" w14:paraId="26E7FA2A" w14:textId="77777777" w:rsidTr="00043968">
        <w:trPr>
          <w:trHeight w:val="153"/>
        </w:trPr>
        <w:tc>
          <w:tcPr>
            <w:tcW w:w="155" w:type="pct"/>
          </w:tcPr>
          <w:p w14:paraId="28825197" w14:textId="77777777" w:rsidR="005F3CCF" w:rsidRDefault="005F3CCF" w:rsidP="00DB16ED">
            <w:pPr>
              <w:rPr>
                <w:rFonts w:ascii="Arial" w:hAnsi="Arial" w:cs="Arial"/>
                <w:b/>
                <w:sz w:val="22"/>
                <w:szCs w:val="22"/>
              </w:rPr>
            </w:pPr>
          </w:p>
        </w:tc>
        <w:tc>
          <w:tcPr>
            <w:tcW w:w="4613" w:type="pct"/>
          </w:tcPr>
          <w:p w14:paraId="39891656" w14:textId="77777777"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Mission statement: Right Treatment by the Right Clinician at the Right Time, in the Right Place</w:t>
            </w:r>
          </w:p>
          <w:p w14:paraId="2A80CA8D" w14:textId="5B2AAE6B"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
                <w:sz w:val="22"/>
                <w:szCs w:val="22"/>
              </w:rPr>
              <w:t>Care Compassion Quality Safety Inclusivity: Patient at the centre of what we do</w:t>
            </w:r>
          </w:p>
        </w:tc>
        <w:tc>
          <w:tcPr>
            <w:tcW w:w="232" w:type="pct"/>
          </w:tcPr>
          <w:p w14:paraId="29E73BA5" w14:textId="77777777" w:rsidR="005F3CCF" w:rsidRPr="000238E7" w:rsidRDefault="005F3CCF" w:rsidP="005E56C4">
            <w:pPr>
              <w:spacing w:before="120" w:after="120"/>
              <w:rPr>
                <w:rFonts w:asciiTheme="minorHAnsi" w:hAnsiTheme="minorHAnsi" w:cstheme="minorHAnsi"/>
                <w:sz w:val="22"/>
                <w:szCs w:val="22"/>
              </w:rPr>
            </w:pPr>
          </w:p>
        </w:tc>
      </w:tr>
      <w:tr w:rsidR="00175563" w:rsidRPr="00264491" w14:paraId="0BF05B1A" w14:textId="77777777" w:rsidTr="00043968">
        <w:trPr>
          <w:trHeight w:val="153"/>
        </w:trPr>
        <w:tc>
          <w:tcPr>
            <w:tcW w:w="155" w:type="pct"/>
          </w:tcPr>
          <w:p w14:paraId="45745091" w14:textId="77777777" w:rsidR="00175563" w:rsidRDefault="00175563" w:rsidP="00277D0A">
            <w:pPr>
              <w:rPr>
                <w:rFonts w:ascii="Arial" w:hAnsi="Arial" w:cs="Arial"/>
                <w:b/>
                <w:sz w:val="22"/>
                <w:szCs w:val="22"/>
              </w:rPr>
            </w:pPr>
          </w:p>
        </w:tc>
        <w:tc>
          <w:tcPr>
            <w:tcW w:w="4613"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232"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43968">
        <w:trPr>
          <w:trHeight w:val="153"/>
        </w:trPr>
        <w:tc>
          <w:tcPr>
            <w:tcW w:w="155" w:type="pct"/>
          </w:tcPr>
          <w:p w14:paraId="1EE3BEB4" w14:textId="77777777" w:rsidR="004D39FC" w:rsidRDefault="004D39FC" w:rsidP="008756B9">
            <w:pPr>
              <w:spacing w:before="120" w:after="120"/>
              <w:rPr>
                <w:rFonts w:ascii="Arial" w:hAnsi="Arial" w:cs="Arial"/>
                <w:sz w:val="22"/>
                <w:szCs w:val="22"/>
              </w:rPr>
            </w:pPr>
          </w:p>
        </w:tc>
        <w:tc>
          <w:tcPr>
            <w:tcW w:w="4613" w:type="pct"/>
          </w:tcPr>
          <w:p w14:paraId="2217B318" w14:textId="2224115E" w:rsidR="004D39FC" w:rsidRPr="000507FA" w:rsidRDefault="004D39FC" w:rsidP="00AD37AC">
            <w:pPr>
              <w:spacing w:before="120" w:after="120"/>
              <w:rPr>
                <w:rFonts w:asciiTheme="minorHAnsi" w:hAnsiTheme="minorHAnsi" w:cstheme="minorHAnsi"/>
                <w:b/>
                <w:sz w:val="22"/>
                <w:szCs w:val="22"/>
              </w:rPr>
            </w:pPr>
            <w:r w:rsidRPr="000507FA">
              <w:rPr>
                <w:rFonts w:asciiTheme="minorHAnsi" w:hAnsiTheme="minorHAnsi" w:cstheme="minorHAnsi"/>
                <w:b/>
                <w:sz w:val="22"/>
                <w:szCs w:val="22"/>
              </w:rPr>
              <w:t>Date of next meeting</w:t>
            </w:r>
            <w:r w:rsidR="0065709A" w:rsidRPr="000507FA">
              <w:rPr>
                <w:rFonts w:asciiTheme="minorHAnsi" w:hAnsiTheme="minorHAnsi" w:cstheme="minorHAnsi"/>
                <w:b/>
                <w:sz w:val="22"/>
                <w:szCs w:val="22"/>
              </w:rPr>
              <w:t xml:space="preserve">: </w:t>
            </w:r>
            <w:r w:rsidR="00E91286">
              <w:rPr>
                <w:rFonts w:asciiTheme="minorHAnsi" w:hAnsiTheme="minorHAnsi" w:cstheme="minorHAnsi"/>
                <w:b/>
                <w:sz w:val="22"/>
                <w:szCs w:val="22"/>
              </w:rPr>
              <w:t>7.2.24</w:t>
            </w:r>
          </w:p>
        </w:tc>
        <w:tc>
          <w:tcPr>
            <w:tcW w:w="232"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609D4"/>
    <w:multiLevelType w:val="hybridMultilevel"/>
    <w:tmpl w:val="52CA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8"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064227">
    <w:abstractNumId w:val="0"/>
  </w:num>
  <w:num w:numId="2" w16cid:durableId="1412387146">
    <w:abstractNumId w:val="27"/>
  </w:num>
  <w:num w:numId="3" w16cid:durableId="1908228039">
    <w:abstractNumId w:val="32"/>
  </w:num>
  <w:num w:numId="4" w16cid:durableId="416637723">
    <w:abstractNumId w:val="24"/>
  </w:num>
  <w:num w:numId="5" w16cid:durableId="1376466584">
    <w:abstractNumId w:val="22"/>
  </w:num>
  <w:num w:numId="6" w16cid:durableId="2014645048">
    <w:abstractNumId w:val="26"/>
  </w:num>
  <w:num w:numId="7" w16cid:durableId="1220940059">
    <w:abstractNumId w:val="3"/>
  </w:num>
  <w:num w:numId="8" w16cid:durableId="211624489">
    <w:abstractNumId w:val="21"/>
  </w:num>
  <w:num w:numId="9" w16cid:durableId="827751448">
    <w:abstractNumId w:val="14"/>
  </w:num>
  <w:num w:numId="10" w16cid:durableId="928584414">
    <w:abstractNumId w:val="9"/>
  </w:num>
  <w:num w:numId="11" w16cid:durableId="1210534939">
    <w:abstractNumId w:val="30"/>
  </w:num>
  <w:num w:numId="12" w16cid:durableId="86197817">
    <w:abstractNumId w:val="5"/>
  </w:num>
  <w:num w:numId="13" w16cid:durableId="2055226268">
    <w:abstractNumId w:val="29"/>
  </w:num>
  <w:num w:numId="14" w16cid:durableId="44645519">
    <w:abstractNumId w:val="28"/>
  </w:num>
  <w:num w:numId="15" w16cid:durableId="1439716394">
    <w:abstractNumId w:val="1"/>
  </w:num>
  <w:num w:numId="16" w16cid:durableId="685599781">
    <w:abstractNumId w:val="15"/>
  </w:num>
  <w:num w:numId="17" w16cid:durableId="1470633595">
    <w:abstractNumId w:val="8"/>
  </w:num>
  <w:num w:numId="18" w16cid:durableId="2014337502">
    <w:abstractNumId w:val="11"/>
  </w:num>
  <w:num w:numId="19" w16cid:durableId="201290159">
    <w:abstractNumId w:val="23"/>
  </w:num>
  <w:num w:numId="20" w16cid:durableId="290325912">
    <w:abstractNumId w:val="7"/>
  </w:num>
  <w:num w:numId="21" w16cid:durableId="1875732070">
    <w:abstractNumId w:val="20"/>
  </w:num>
  <w:num w:numId="22" w16cid:durableId="745905">
    <w:abstractNumId w:val="4"/>
  </w:num>
  <w:num w:numId="23" w16cid:durableId="2008244564">
    <w:abstractNumId w:val="19"/>
  </w:num>
  <w:num w:numId="24" w16cid:durableId="296108031">
    <w:abstractNumId w:val="18"/>
  </w:num>
  <w:num w:numId="25" w16cid:durableId="1621450809">
    <w:abstractNumId w:val="2"/>
  </w:num>
  <w:num w:numId="26" w16cid:durableId="537739901">
    <w:abstractNumId w:val="16"/>
  </w:num>
  <w:num w:numId="27" w16cid:durableId="1120609814">
    <w:abstractNumId w:val="6"/>
  </w:num>
  <w:num w:numId="28" w16cid:durableId="1687096159">
    <w:abstractNumId w:val="25"/>
  </w:num>
  <w:num w:numId="29" w16cid:durableId="1936596129">
    <w:abstractNumId w:val="17"/>
  </w:num>
  <w:num w:numId="30" w16cid:durableId="2126341040">
    <w:abstractNumId w:val="10"/>
  </w:num>
  <w:num w:numId="31" w16cid:durableId="8595899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2770843">
    <w:abstractNumId w:val="33"/>
  </w:num>
  <w:num w:numId="33" w16cid:durableId="1354502894">
    <w:abstractNumId w:val="12"/>
  </w:num>
  <w:num w:numId="34" w16cid:durableId="72483456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68"/>
    <w:rsid w:val="00043997"/>
    <w:rsid w:val="000439F0"/>
    <w:rsid w:val="00043D8D"/>
    <w:rsid w:val="00044E3A"/>
    <w:rsid w:val="00045709"/>
    <w:rsid w:val="00047C47"/>
    <w:rsid w:val="00047D5F"/>
    <w:rsid w:val="000507FA"/>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671B"/>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1F28"/>
    <w:rsid w:val="00171FF8"/>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BEE"/>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B7F06"/>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0F4"/>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3B52"/>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892"/>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C531F"/>
    <w:rsid w:val="004D1A1A"/>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173"/>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CCF"/>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5709A"/>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571"/>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5712"/>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20"/>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6FD"/>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04"/>
    <w:rsid w:val="008C0ABD"/>
    <w:rsid w:val="008C4008"/>
    <w:rsid w:val="008C4450"/>
    <w:rsid w:val="008C4571"/>
    <w:rsid w:val="008C61CD"/>
    <w:rsid w:val="008C7052"/>
    <w:rsid w:val="008D077A"/>
    <w:rsid w:val="008D1601"/>
    <w:rsid w:val="008D200D"/>
    <w:rsid w:val="008D2081"/>
    <w:rsid w:val="008D2A43"/>
    <w:rsid w:val="008D48FE"/>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576CC"/>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095E"/>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7C2"/>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180E"/>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0CF8"/>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0B72"/>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0E37"/>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5EB"/>
    <w:rsid w:val="00CB0C22"/>
    <w:rsid w:val="00CB2DAD"/>
    <w:rsid w:val="00CB4241"/>
    <w:rsid w:val="00CB466D"/>
    <w:rsid w:val="00CB6FE5"/>
    <w:rsid w:val="00CC0157"/>
    <w:rsid w:val="00CC0EF7"/>
    <w:rsid w:val="00CC148E"/>
    <w:rsid w:val="00CC18BC"/>
    <w:rsid w:val="00CC1C00"/>
    <w:rsid w:val="00CC2342"/>
    <w:rsid w:val="00CC3065"/>
    <w:rsid w:val="00CC441C"/>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1BDC"/>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286"/>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579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MANAGER, Practice (LONDON ROAD SURGERY)</cp:lastModifiedBy>
  <cp:revision>5</cp:revision>
  <cp:lastPrinted>2021-06-28T08:33:00Z</cp:lastPrinted>
  <dcterms:created xsi:type="dcterms:W3CDTF">2024-02-07T10:43:00Z</dcterms:created>
  <dcterms:modified xsi:type="dcterms:W3CDTF">2024-02-07T11:15:00Z</dcterms:modified>
</cp:coreProperties>
</file>